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21D" w:rsidRPr="005B7761" w:rsidRDefault="00D5421D" w:rsidP="00EE2230">
      <w:pPr>
        <w:spacing w:after="120" w:line="240" w:lineRule="auto"/>
        <w:ind w:firstLine="708"/>
        <w:jc w:val="right"/>
        <w:rPr>
          <w:rFonts w:ascii="Times New Roman" w:hAnsi="Times New Roman"/>
          <w:b/>
          <w:sz w:val="24"/>
          <w:szCs w:val="24"/>
        </w:rPr>
      </w:pPr>
      <w:r w:rsidRPr="005B7761">
        <w:rPr>
          <w:rFonts w:ascii="Times New Roman" w:hAnsi="Times New Roman"/>
          <w:b/>
          <w:sz w:val="24"/>
          <w:szCs w:val="24"/>
        </w:rPr>
        <w:t>Коцовська О.С.</w:t>
      </w:r>
    </w:p>
    <w:p w:rsidR="00D5421D" w:rsidRPr="005B7761" w:rsidRDefault="00D5421D" w:rsidP="00EE2230">
      <w:pPr>
        <w:spacing w:after="120" w:line="240" w:lineRule="auto"/>
        <w:ind w:firstLine="708"/>
        <w:jc w:val="right"/>
        <w:rPr>
          <w:rFonts w:ascii="Times New Roman" w:hAnsi="Times New Roman"/>
          <w:b/>
          <w:i/>
          <w:sz w:val="24"/>
          <w:szCs w:val="24"/>
        </w:rPr>
      </w:pPr>
      <w:r w:rsidRPr="005B7761">
        <w:rPr>
          <w:rFonts w:ascii="Times New Roman" w:hAnsi="Times New Roman"/>
          <w:b/>
          <w:i/>
          <w:sz w:val="24"/>
          <w:szCs w:val="24"/>
        </w:rPr>
        <w:t>доцент кафедри освітньої політики ЛОІППО</w:t>
      </w:r>
    </w:p>
    <w:p w:rsidR="00D5421D" w:rsidRPr="005B7761" w:rsidRDefault="00D5421D" w:rsidP="00EE2230">
      <w:pPr>
        <w:spacing w:after="120" w:line="240" w:lineRule="auto"/>
        <w:ind w:firstLine="708"/>
        <w:jc w:val="center"/>
        <w:rPr>
          <w:rFonts w:ascii="Times New Roman" w:hAnsi="Times New Roman"/>
          <w:b/>
          <w:sz w:val="24"/>
          <w:szCs w:val="24"/>
        </w:rPr>
      </w:pPr>
    </w:p>
    <w:p w:rsidR="00D5421D" w:rsidRPr="005B7761" w:rsidRDefault="00D5421D" w:rsidP="00EE2230">
      <w:pPr>
        <w:spacing w:after="120" w:line="240" w:lineRule="auto"/>
        <w:ind w:firstLine="708"/>
        <w:jc w:val="center"/>
        <w:rPr>
          <w:rFonts w:ascii="Times New Roman" w:hAnsi="Times New Roman"/>
          <w:b/>
          <w:sz w:val="24"/>
          <w:szCs w:val="24"/>
        </w:rPr>
      </w:pPr>
      <w:r w:rsidRPr="005B7761">
        <w:rPr>
          <w:rFonts w:ascii="Times New Roman" w:hAnsi="Times New Roman"/>
          <w:b/>
          <w:sz w:val="24"/>
          <w:szCs w:val="24"/>
        </w:rPr>
        <w:t>Фінансове забезпечення освіти в ОТГ</w:t>
      </w:r>
    </w:p>
    <w:p w:rsidR="00D5421D" w:rsidRPr="005B7761" w:rsidRDefault="00D5421D" w:rsidP="00EE2230">
      <w:pPr>
        <w:spacing w:after="120" w:line="240" w:lineRule="auto"/>
        <w:ind w:firstLine="708"/>
        <w:jc w:val="center"/>
        <w:rPr>
          <w:rFonts w:ascii="Times New Roman" w:hAnsi="Times New Roman"/>
          <w:b/>
          <w:sz w:val="24"/>
          <w:szCs w:val="24"/>
        </w:rPr>
      </w:pPr>
    </w:p>
    <w:p w:rsidR="00D5421D" w:rsidRPr="005B7761" w:rsidRDefault="00D5421D" w:rsidP="00EE2230">
      <w:pPr>
        <w:spacing w:after="120" w:line="240" w:lineRule="auto"/>
        <w:ind w:firstLine="709"/>
        <w:jc w:val="both"/>
        <w:rPr>
          <w:rFonts w:ascii="Times New Roman" w:hAnsi="Times New Roman"/>
          <w:sz w:val="24"/>
          <w:szCs w:val="24"/>
        </w:rPr>
      </w:pPr>
      <w:r w:rsidRPr="005B7761">
        <w:rPr>
          <w:rFonts w:ascii="Times New Roman" w:hAnsi="Times New Roman"/>
          <w:sz w:val="24"/>
          <w:szCs w:val="24"/>
        </w:rPr>
        <w:t>Конституцією України встановлено, що держава забезпечує доступність і безоплатність дошкільної, загальної середньої, професійно-технічної, вищої освіти в державних і комунальних навчальних закладах, причому повна загальна середня освіта є обов’язковою [1, ст.53]. Згідно з Законом України “Про освіту</w:t>
      </w:r>
      <w:r w:rsidRPr="005B7761">
        <w:rPr>
          <w:rFonts w:ascii="Times New Roman" w:hAnsi="Times New Roman"/>
          <w:sz w:val="24"/>
          <w:szCs w:val="24"/>
          <w:lang w:eastAsia="uk-UA"/>
        </w:rPr>
        <w:t>”</w:t>
      </w:r>
      <w:r w:rsidRPr="005B7761">
        <w:rPr>
          <w:rFonts w:ascii="Times New Roman" w:hAnsi="Times New Roman"/>
          <w:sz w:val="24"/>
          <w:szCs w:val="24"/>
        </w:rPr>
        <w:t>, громадяни України мають право на безкоштовну освіту в усіх державних (комунальних) навчальних закладах. Водночас держава гарантує молоді право на отримання загальної середньої освіти та оплачує її здобуття [2, ст.3, 35].</w:t>
      </w:r>
      <w:r w:rsidRPr="005B7761">
        <w:rPr>
          <w:rFonts w:ascii="Times New Roman" w:hAnsi="Times New Roman"/>
          <w:b/>
          <w:sz w:val="24"/>
          <w:szCs w:val="24"/>
        </w:rPr>
        <w:t xml:space="preserve"> </w:t>
      </w:r>
      <w:r w:rsidRPr="005B7761">
        <w:rPr>
          <w:rFonts w:ascii="Times New Roman" w:hAnsi="Times New Roman"/>
          <w:sz w:val="24"/>
          <w:szCs w:val="24"/>
        </w:rPr>
        <w:t xml:space="preserve">Тож на нині фінансове забезпечення комунальних навчальних закладів здійснюється шляхом бюджетного фінансування. </w:t>
      </w:r>
    </w:p>
    <w:p w:rsidR="00D5421D" w:rsidRPr="005B7761" w:rsidRDefault="00D5421D" w:rsidP="00EE2230">
      <w:pPr>
        <w:spacing w:after="120" w:line="240" w:lineRule="auto"/>
        <w:ind w:firstLine="709"/>
        <w:jc w:val="both"/>
        <w:rPr>
          <w:rFonts w:ascii="Times New Roman" w:hAnsi="Times New Roman"/>
          <w:sz w:val="24"/>
          <w:szCs w:val="24"/>
        </w:rPr>
      </w:pPr>
      <w:r w:rsidRPr="005B7761">
        <w:rPr>
          <w:rFonts w:ascii="Times New Roman" w:hAnsi="Times New Roman"/>
          <w:sz w:val="24"/>
          <w:szCs w:val="24"/>
        </w:rPr>
        <w:t xml:space="preserve">Також, як визначено основним законом, бюджетна система України будується на засадах справедливого й неупередженого розподілу суспільного багатства між громадянами і територіальними громадами. Водночас будь-які видатки держави на загальносуспільні потреби, їх розмір і цільове спрямування визначаються виключно законом про Державний бюджет України [1, ст.95]. Зокрема, це стосується і видатків на освіту. Причому фінансування комунальних навчальних закладів здійснюється з відповідних місцевих бюджетів. </w:t>
      </w:r>
    </w:p>
    <w:p w:rsidR="00D5421D" w:rsidRPr="005B7761" w:rsidRDefault="00D5421D" w:rsidP="00EE2230">
      <w:pPr>
        <w:spacing w:after="120" w:line="240" w:lineRule="auto"/>
        <w:ind w:firstLine="708"/>
        <w:jc w:val="both"/>
        <w:rPr>
          <w:rFonts w:ascii="Times New Roman" w:hAnsi="Times New Roman"/>
          <w:sz w:val="24"/>
          <w:szCs w:val="24"/>
        </w:rPr>
      </w:pPr>
      <w:r w:rsidRPr="005B7761">
        <w:rPr>
          <w:rFonts w:ascii="Times New Roman" w:hAnsi="Times New Roman"/>
          <w:sz w:val="24"/>
          <w:szCs w:val="24"/>
        </w:rPr>
        <w:t>Згідно з чинним Законом України “Про освіту” управління галуззю здійснюють державні органи управління та органи громадського самоврядування. До системи державних органів управління освітою належать центральний орган виконавчої влади - Міністерство освіти і науки України, місцеві державні адміністрації (Міністерство освіти Автономної Республіки Крим), органи місцевого самоврядування та утворені ними відповідні структурні підрозділи. Відповідно цим законом розподілено повноваження між центральними та місцевими органами управління освітою, зокрема у сфері фінансового забезпечення. Так</w:t>
      </w:r>
      <w:r w:rsidRPr="005B7761">
        <w:rPr>
          <w:sz w:val="24"/>
          <w:szCs w:val="24"/>
        </w:rPr>
        <w:t xml:space="preserve">, </w:t>
      </w:r>
      <w:r w:rsidRPr="005B7761">
        <w:rPr>
          <w:rFonts w:ascii="Times New Roman" w:hAnsi="Times New Roman"/>
          <w:sz w:val="24"/>
          <w:szCs w:val="24"/>
        </w:rPr>
        <w:t>галузеве міністерство визначає мінімальні нормативи матеріально-технічного та фінансового забезпечення навчальних закладів. А місцеві органи виконавчої влади та органи місцевого самоврядування згідно з повноваженнями щодо фінансового забезпечення освіти встановлюють обсяги бюджетного фінансування навчальних закладів і установ освіти комунальної власності не нижче, визначених міністерством мінімальних нормативів, а також забезпечують фінансування витрат на їх утримання [2].</w:t>
      </w:r>
    </w:p>
    <w:p w:rsidR="00D5421D" w:rsidRPr="005B7761" w:rsidRDefault="00D5421D" w:rsidP="00EE2230">
      <w:pPr>
        <w:spacing w:after="120" w:line="240" w:lineRule="auto"/>
        <w:ind w:firstLine="709"/>
        <w:jc w:val="both"/>
        <w:rPr>
          <w:rFonts w:ascii="Times New Roman" w:hAnsi="Times New Roman"/>
          <w:sz w:val="24"/>
          <w:szCs w:val="24"/>
        </w:rPr>
      </w:pPr>
      <w:r w:rsidRPr="005B7761">
        <w:rPr>
          <w:rFonts w:ascii="Times New Roman" w:hAnsi="Times New Roman"/>
          <w:sz w:val="24"/>
          <w:szCs w:val="24"/>
        </w:rPr>
        <w:t xml:space="preserve">Бюджетним кодексом України (стаття 89) визначено видатки на освіту, що здійснюються з бюджетів міст республіканського Автономної республіки Крим та обласного значення, районних бюджетів та </w:t>
      </w:r>
      <w:r w:rsidRPr="005B7761">
        <w:rPr>
          <w:rFonts w:ascii="Times New Roman" w:hAnsi="Times New Roman"/>
          <w:b/>
          <w:sz w:val="24"/>
          <w:szCs w:val="24"/>
        </w:rPr>
        <w:t>бюджетів об’єднаних територіальних громад</w:t>
      </w:r>
      <w:r w:rsidRPr="005B7761">
        <w:rPr>
          <w:rFonts w:ascii="Times New Roman" w:hAnsi="Times New Roman"/>
          <w:sz w:val="24"/>
          <w:szCs w:val="24"/>
        </w:rPr>
        <w:t>, які створюються згідно з законом і перспективним планом формування територій громад [3]:</w:t>
      </w:r>
    </w:p>
    <w:p w:rsidR="00D5421D" w:rsidRPr="005B7761" w:rsidRDefault="00D5421D" w:rsidP="00EE2230">
      <w:pPr>
        <w:spacing w:after="120" w:line="240" w:lineRule="auto"/>
        <w:ind w:firstLine="709"/>
        <w:jc w:val="both"/>
        <w:rPr>
          <w:rFonts w:ascii="Times New Roman" w:hAnsi="Times New Roman"/>
          <w:sz w:val="24"/>
          <w:szCs w:val="24"/>
        </w:rPr>
      </w:pPr>
      <w:r w:rsidRPr="005B7761">
        <w:rPr>
          <w:rFonts w:ascii="Times New Roman" w:hAnsi="Times New Roman"/>
          <w:sz w:val="24"/>
          <w:szCs w:val="24"/>
        </w:rPr>
        <w:t>а) дошкільну освіту;</w:t>
      </w:r>
    </w:p>
    <w:p w:rsidR="00D5421D" w:rsidRPr="005B7761" w:rsidRDefault="00D5421D" w:rsidP="00EE2230">
      <w:pPr>
        <w:spacing w:after="120" w:line="240" w:lineRule="auto"/>
        <w:ind w:firstLine="708"/>
        <w:jc w:val="both"/>
        <w:rPr>
          <w:rFonts w:ascii="Times New Roman" w:hAnsi="Times New Roman"/>
          <w:color w:val="000000"/>
          <w:sz w:val="24"/>
          <w:szCs w:val="24"/>
        </w:rPr>
      </w:pPr>
      <w:r w:rsidRPr="005B7761">
        <w:rPr>
          <w:rFonts w:ascii="Times New Roman" w:hAnsi="Times New Roman"/>
          <w:sz w:val="24"/>
          <w:szCs w:val="24"/>
        </w:rPr>
        <w:t xml:space="preserve">б) загальну середню освіту: </w:t>
      </w:r>
      <w:r w:rsidRPr="005B7761">
        <w:rPr>
          <w:rFonts w:ascii="Times New Roman" w:hAnsi="Times New Roman"/>
          <w:color w:val="000000"/>
          <w:sz w:val="24"/>
          <w:szCs w:val="24"/>
        </w:rPr>
        <w:t xml:space="preserve">загальноосвітні навчальні заклади (у тому числі ЗНЗ усіх ступенів, спеціалізовані школи (школи-інтернати), ліцеї (ліцеї-інтернати); гімназії (гімназії-інтернати), колегіуми (колегіуми-інтернати), вечірні (змінні) школи, навчально-виховні комплекси “ДНЗ – ЗНЗ” та “ЗНЗ – ДНЗ”; </w:t>
      </w:r>
    </w:p>
    <w:p w:rsidR="00D5421D" w:rsidRPr="005B7761" w:rsidRDefault="00D5421D" w:rsidP="00EE2230">
      <w:pPr>
        <w:spacing w:after="120" w:line="240" w:lineRule="auto"/>
        <w:ind w:firstLine="709"/>
        <w:jc w:val="both"/>
        <w:rPr>
          <w:rFonts w:ascii="Times New Roman" w:hAnsi="Times New Roman"/>
          <w:color w:val="000000"/>
          <w:sz w:val="24"/>
          <w:szCs w:val="24"/>
        </w:rPr>
      </w:pPr>
      <w:r w:rsidRPr="005B7761">
        <w:rPr>
          <w:rFonts w:ascii="Times New Roman" w:hAnsi="Times New Roman"/>
          <w:color w:val="000000"/>
          <w:sz w:val="24"/>
          <w:szCs w:val="24"/>
        </w:rPr>
        <w:t xml:space="preserve">в) навчальні заклади для громадян, які потребують соціальної допомоги та реабілітації : загальноосвітні школи-інтернати; </w:t>
      </w:r>
    </w:p>
    <w:p w:rsidR="00D5421D" w:rsidRPr="005B7761" w:rsidRDefault="00D5421D" w:rsidP="00EE2230">
      <w:pPr>
        <w:spacing w:after="120" w:line="240" w:lineRule="auto"/>
        <w:ind w:firstLine="448"/>
        <w:jc w:val="both"/>
        <w:rPr>
          <w:rFonts w:ascii="Times New Roman" w:hAnsi="Times New Roman"/>
          <w:color w:val="000000"/>
          <w:sz w:val="24"/>
          <w:szCs w:val="24"/>
        </w:rPr>
      </w:pPr>
      <w:r w:rsidRPr="005B7761">
        <w:rPr>
          <w:rFonts w:ascii="Times New Roman" w:hAnsi="Times New Roman"/>
          <w:color w:val="000000"/>
          <w:sz w:val="24"/>
          <w:szCs w:val="24"/>
        </w:rPr>
        <w:t>- загальноосвітні навчальні заклади для дітей-сиріт і дітей позбавлених батьківського піклування,  дитячі будинки, навчально-реабілітаційні центри (якщо не менше 70% кількості учнів зазначених закладів припадає на територію відповідного міста чи району), дитячі будинки сімейного типу та прийомні сім”ї;</w:t>
      </w:r>
    </w:p>
    <w:p w:rsidR="00D5421D" w:rsidRPr="005B7761" w:rsidRDefault="00D5421D" w:rsidP="00EE2230">
      <w:pPr>
        <w:spacing w:after="120" w:line="240" w:lineRule="auto"/>
        <w:ind w:firstLine="448"/>
        <w:jc w:val="both"/>
        <w:rPr>
          <w:rFonts w:ascii="Times New Roman" w:hAnsi="Times New Roman"/>
          <w:color w:val="000000"/>
          <w:sz w:val="24"/>
          <w:szCs w:val="24"/>
        </w:rPr>
      </w:pPr>
      <w:r w:rsidRPr="005B7761">
        <w:rPr>
          <w:rFonts w:ascii="Times New Roman" w:hAnsi="Times New Roman"/>
          <w:color w:val="000000"/>
          <w:sz w:val="24"/>
          <w:szCs w:val="24"/>
        </w:rPr>
        <w:t>г) інші державні освітні програми;</w:t>
      </w:r>
    </w:p>
    <w:p w:rsidR="00D5421D" w:rsidRPr="005B7761" w:rsidRDefault="00D5421D" w:rsidP="00EE2230">
      <w:pPr>
        <w:spacing w:after="120" w:line="240" w:lineRule="auto"/>
        <w:ind w:firstLine="448"/>
        <w:jc w:val="both"/>
        <w:rPr>
          <w:rFonts w:ascii="Times New Roman" w:hAnsi="Times New Roman"/>
          <w:color w:val="000000"/>
          <w:sz w:val="24"/>
          <w:szCs w:val="24"/>
        </w:rPr>
      </w:pPr>
      <w:r w:rsidRPr="005B7761">
        <w:rPr>
          <w:rFonts w:ascii="Times New Roman" w:hAnsi="Times New Roman"/>
          <w:color w:val="000000"/>
          <w:sz w:val="24"/>
          <w:szCs w:val="24"/>
        </w:rPr>
        <w:t>г) вищу освіту (на оплату послуг з підготовки фахівців, наукових та науково-педагогічних кадрів у вищих навчальних закладах І-ІV рівнів акредитації державної і комунальної власності відповідно до програм соціально-економічного розвитку регіонів):</w:t>
      </w:r>
    </w:p>
    <w:p w:rsidR="00D5421D" w:rsidRPr="005B7761" w:rsidRDefault="00D5421D" w:rsidP="00EE2230">
      <w:pPr>
        <w:spacing w:after="120" w:line="240" w:lineRule="auto"/>
        <w:ind w:firstLine="448"/>
        <w:jc w:val="both"/>
        <w:rPr>
          <w:rFonts w:ascii="Times New Roman" w:hAnsi="Times New Roman"/>
          <w:color w:val="000000"/>
          <w:sz w:val="24"/>
          <w:szCs w:val="24"/>
        </w:rPr>
      </w:pPr>
      <w:r w:rsidRPr="005B7761">
        <w:rPr>
          <w:rFonts w:ascii="Times New Roman" w:hAnsi="Times New Roman"/>
          <w:color w:val="000000"/>
          <w:sz w:val="24"/>
          <w:szCs w:val="24"/>
        </w:rPr>
        <w:t>д) позашкільну освіту;</w:t>
      </w:r>
    </w:p>
    <w:p w:rsidR="00D5421D" w:rsidRPr="005B7761" w:rsidRDefault="00D5421D" w:rsidP="00EE2230">
      <w:pPr>
        <w:spacing w:after="120" w:line="240" w:lineRule="auto"/>
        <w:ind w:firstLine="448"/>
        <w:jc w:val="both"/>
        <w:rPr>
          <w:rFonts w:ascii="Times New Roman" w:hAnsi="Times New Roman"/>
          <w:color w:val="000000"/>
          <w:sz w:val="24"/>
          <w:szCs w:val="24"/>
        </w:rPr>
      </w:pPr>
      <w:r w:rsidRPr="005B7761">
        <w:rPr>
          <w:rFonts w:ascii="Times New Roman" w:hAnsi="Times New Roman"/>
          <w:color w:val="000000"/>
          <w:sz w:val="24"/>
          <w:szCs w:val="24"/>
        </w:rPr>
        <w:t xml:space="preserve">е) професійно-технічну освіту </w:t>
      </w:r>
      <w:r w:rsidRPr="005B7761">
        <w:rPr>
          <w:rFonts w:ascii="Times New Roman" w:hAnsi="Times New Roman"/>
          <w:b/>
          <w:color w:val="000000"/>
          <w:sz w:val="24"/>
          <w:szCs w:val="24"/>
        </w:rPr>
        <w:t>з бюджетів міст обласного значення</w:t>
      </w:r>
      <w:r w:rsidRPr="005B7761">
        <w:rPr>
          <w:rFonts w:ascii="Times New Roman" w:hAnsi="Times New Roman"/>
          <w:color w:val="000000"/>
          <w:sz w:val="24"/>
          <w:szCs w:val="24"/>
        </w:rPr>
        <w:t xml:space="preserve"> (на оплату послуг з підготовки кваліфікованих робітників на умовах державного та/або регіонального замовлення у професійно-технічних та інших навчальних закладах державної та/або комунальної власності, що розташовані на території міст обласного значення.</w:t>
      </w:r>
    </w:p>
    <w:p w:rsidR="00D5421D" w:rsidRPr="005B7761" w:rsidRDefault="00D5421D" w:rsidP="00EE2230">
      <w:pPr>
        <w:spacing w:after="120" w:line="240" w:lineRule="auto"/>
        <w:ind w:firstLine="448"/>
        <w:jc w:val="both"/>
        <w:rPr>
          <w:rFonts w:ascii="Times New Roman" w:hAnsi="Times New Roman"/>
          <w:color w:val="000000"/>
          <w:sz w:val="24"/>
          <w:szCs w:val="24"/>
        </w:rPr>
      </w:pPr>
      <w:r w:rsidRPr="005B7761">
        <w:rPr>
          <w:rFonts w:ascii="Times New Roman" w:hAnsi="Times New Roman"/>
          <w:color w:val="000000"/>
          <w:sz w:val="24"/>
          <w:szCs w:val="24"/>
        </w:rPr>
        <w:tab/>
        <w:t xml:space="preserve">Фінансове забезпечення зазначених вище закладів освіти здійснюється за рахунок різних джерел надходжень до місцевих бюджетів. </w:t>
      </w:r>
    </w:p>
    <w:p w:rsidR="00D5421D" w:rsidRPr="005B7761" w:rsidRDefault="00D5421D" w:rsidP="00EE2230">
      <w:pPr>
        <w:spacing w:after="120" w:line="240" w:lineRule="auto"/>
        <w:ind w:firstLine="708"/>
        <w:jc w:val="both"/>
        <w:rPr>
          <w:rFonts w:ascii="Times New Roman" w:hAnsi="Times New Roman"/>
          <w:sz w:val="24"/>
          <w:szCs w:val="24"/>
        </w:rPr>
      </w:pPr>
      <w:r w:rsidRPr="005B7761">
        <w:rPr>
          <w:rFonts w:ascii="Times New Roman" w:hAnsi="Times New Roman"/>
          <w:sz w:val="24"/>
          <w:szCs w:val="24"/>
        </w:rPr>
        <w:t>Насамперед, починаючи з 2016 року бюджетам об’єднаних територіальних громад із державного бюджету спрямовується освітня субвенція. Поняття «субвенція» трактується як дотація, що має цільове призначення: міжбюджетний трансферт для використання на певну мету в порядку, визначеному органом, який прийняв рішення про надання субвенції [4].</w:t>
      </w:r>
    </w:p>
    <w:p w:rsidR="00D5421D" w:rsidRPr="005B7761" w:rsidRDefault="00D5421D" w:rsidP="00EE2230">
      <w:pPr>
        <w:spacing w:after="120" w:line="240" w:lineRule="auto"/>
        <w:ind w:firstLine="708"/>
        <w:jc w:val="both"/>
        <w:rPr>
          <w:rFonts w:ascii="Times New Roman" w:hAnsi="Times New Roman"/>
          <w:color w:val="000000"/>
          <w:sz w:val="24"/>
          <w:szCs w:val="24"/>
        </w:rPr>
      </w:pPr>
      <w:r w:rsidRPr="005B7761">
        <w:rPr>
          <w:rFonts w:ascii="Times New Roman" w:hAnsi="Times New Roman"/>
          <w:sz w:val="24"/>
          <w:szCs w:val="24"/>
        </w:rPr>
        <w:t>Тож, як встановлено Бюджетним кодексом, освітня субвенція спрямовується на поточні видатки таких типів навчальних закладів [3, Ст.</w:t>
      </w:r>
      <w:r w:rsidRPr="005B7761">
        <w:rPr>
          <w:rStyle w:val="rvts9"/>
        </w:rPr>
        <w:t xml:space="preserve"> </w:t>
      </w:r>
      <w:r w:rsidRPr="005B7761">
        <w:rPr>
          <w:rStyle w:val="rvts9"/>
          <w:b w:val="0"/>
        </w:rPr>
        <w:t>103</w:t>
      </w:r>
      <w:r w:rsidRPr="005B7761">
        <w:rPr>
          <w:rStyle w:val="rvts37"/>
          <w:b w:val="0"/>
          <w:sz w:val="24"/>
          <w:szCs w:val="24"/>
        </w:rPr>
        <w:t>-2</w:t>
      </w:r>
      <w:r w:rsidRPr="005B7761">
        <w:rPr>
          <w:rFonts w:ascii="Times New Roman" w:hAnsi="Times New Roman"/>
          <w:sz w:val="24"/>
          <w:szCs w:val="24"/>
        </w:rPr>
        <w:t xml:space="preserve">]: </w:t>
      </w:r>
    </w:p>
    <w:p w:rsidR="00D5421D" w:rsidRPr="005B7761" w:rsidRDefault="00D5421D" w:rsidP="00EE2230">
      <w:pPr>
        <w:spacing w:after="120" w:line="240" w:lineRule="auto"/>
        <w:ind w:firstLine="448"/>
        <w:jc w:val="both"/>
        <w:rPr>
          <w:rFonts w:ascii="Times New Roman" w:hAnsi="Times New Roman"/>
          <w:color w:val="000000"/>
          <w:sz w:val="24"/>
          <w:szCs w:val="24"/>
        </w:rPr>
      </w:pPr>
      <w:r w:rsidRPr="005B7761">
        <w:rPr>
          <w:color w:val="000000"/>
          <w:sz w:val="24"/>
          <w:szCs w:val="24"/>
        </w:rPr>
        <w:t xml:space="preserve">1) </w:t>
      </w:r>
      <w:r w:rsidRPr="005B7761">
        <w:rPr>
          <w:rFonts w:ascii="Times New Roman" w:hAnsi="Times New Roman"/>
          <w:color w:val="000000"/>
          <w:sz w:val="24"/>
          <w:szCs w:val="24"/>
        </w:rPr>
        <w:t xml:space="preserve">загальноосвітні навчальні заклади усіх ступенів; </w:t>
      </w:r>
      <w:bookmarkStart w:id="0" w:name="n2434"/>
      <w:bookmarkEnd w:id="0"/>
    </w:p>
    <w:p w:rsidR="00D5421D" w:rsidRPr="005B7761" w:rsidRDefault="00D5421D" w:rsidP="00EE2230">
      <w:pPr>
        <w:spacing w:after="120" w:line="240" w:lineRule="auto"/>
        <w:ind w:firstLine="448"/>
        <w:jc w:val="both"/>
        <w:rPr>
          <w:rFonts w:ascii="Times New Roman" w:hAnsi="Times New Roman"/>
          <w:color w:val="000000"/>
          <w:sz w:val="24"/>
          <w:szCs w:val="24"/>
        </w:rPr>
      </w:pPr>
      <w:r w:rsidRPr="005B7761">
        <w:rPr>
          <w:rFonts w:ascii="Times New Roman" w:hAnsi="Times New Roman"/>
          <w:color w:val="000000"/>
          <w:sz w:val="24"/>
          <w:szCs w:val="24"/>
        </w:rPr>
        <w:t xml:space="preserve">2) шкільні відділення навчально-виховних комплексів “ДНЗ – ЗНЗ” або “ЗНЗ – ДНЗ”; </w:t>
      </w:r>
      <w:bookmarkStart w:id="1" w:name="n2435"/>
      <w:bookmarkEnd w:id="1"/>
      <w:r w:rsidRPr="005B7761">
        <w:rPr>
          <w:rFonts w:ascii="Times New Roman" w:hAnsi="Times New Roman"/>
          <w:color w:val="000000"/>
          <w:sz w:val="24"/>
          <w:szCs w:val="24"/>
        </w:rPr>
        <w:t xml:space="preserve"> </w:t>
      </w:r>
    </w:p>
    <w:p w:rsidR="00D5421D" w:rsidRPr="005B7761" w:rsidRDefault="00D5421D" w:rsidP="00EE2230">
      <w:pPr>
        <w:spacing w:after="120" w:line="240" w:lineRule="auto"/>
        <w:ind w:firstLine="448"/>
        <w:jc w:val="both"/>
        <w:rPr>
          <w:rFonts w:ascii="Times New Roman" w:hAnsi="Times New Roman"/>
          <w:color w:val="000000"/>
          <w:sz w:val="24"/>
          <w:szCs w:val="24"/>
        </w:rPr>
      </w:pPr>
      <w:r w:rsidRPr="005B7761">
        <w:rPr>
          <w:rFonts w:ascii="Times New Roman" w:hAnsi="Times New Roman"/>
          <w:color w:val="000000"/>
          <w:sz w:val="24"/>
          <w:szCs w:val="24"/>
        </w:rPr>
        <w:t xml:space="preserve">3) спеціалізовані школи (школи-інтернати), включаючи школи інтернати з поглибленим вивченням окремих предметів і курсів для поглибленої підготовки дітей в галузі науки і мистецтв, фізичної культури і спорту, інших галузях; ліцеї (ліцеї-інтернати); гімназії (гімназії-інтернати), колегіуми (колегіуми-інтернати); </w:t>
      </w:r>
      <w:bookmarkStart w:id="2" w:name="n2436"/>
      <w:bookmarkEnd w:id="2"/>
    </w:p>
    <w:p w:rsidR="00D5421D" w:rsidRPr="005B7761" w:rsidRDefault="00D5421D" w:rsidP="00EE2230">
      <w:pPr>
        <w:spacing w:after="120" w:line="240" w:lineRule="auto"/>
        <w:ind w:firstLine="448"/>
        <w:jc w:val="both"/>
        <w:rPr>
          <w:rFonts w:ascii="Times New Roman" w:hAnsi="Times New Roman"/>
          <w:color w:val="000000"/>
          <w:sz w:val="24"/>
          <w:szCs w:val="24"/>
        </w:rPr>
      </w:pPr>
      <w:r w:rsidRPr="005B7761">
        <w:rPr>
          <w:rFonts w:ascii="Times New Roman" w:hAnsi="Times New Roman"/>
          <w:color w:val="000000"/>
          <w:sz w:val="24"/>
          <w:szCs w:val="24"/>
        </w:rPr>
        <w:t xml:space="preserve">4) вечірні (змінні) школи; </w:t>
      </w:r>
    </w:p>
    <w:p w:rsidR="00D5421D" w:rsidRPr="005B7761" w:rsidRDefault="00D5421D" w:rsidP="00EE2230">
      <w:pPr>
        <w:spacing w:after="120" w:line="240" w:lineRule="auto"/>
        <w:ind w:firstLine="448"/>
        <w:jc w:val="both"/>
        <w:rPr>
          <w:rFonts w:ascii="Times New Roman" w:hAnsi="Times New Roman"/>
          <w:color w:val="000000"/>
          <w:sz w:val="24"/>
          <w:szCs w:val="24"/>
        </w:rPr>
      </w:pPr>
      <w:r w:rsidRPr="005B7761">
        <w:rPr>
          <w:rFonts w:ascii="Times New Roman" w:hAnsi="Times New Roman"/>
          <w:color w:val="000000"/>
          <w:sz w:val="24"/>
          <w:szCs w:val="24"/>
        </w:rPr>
        <w:t xml:space="preserve">5) загальноосвітні навчальні заклади для громадян, які потребують соціальної допомоги та реабілітації: загальноосвітні школи-інтернати, загальноосвітні санаторні школи-інтернати, спеціальні загальноосвітні школи-інтернати, загальноосвітні навчальні заклади для дітей, позбавлених батьківського піклування, дитячі будинки (крім дитячих будинків сімейного типу та прийомних сімей); </w:t>
      </w:r>
      <w:bookmarkStart w:id="3" w:name="n2438"/>
      <w:bookmarkEnd w:id="3"/>
    </w:p>
    <w:p w:rsidR="00D5421D" w:rsidRPr="005B7761" w:rsidRDefault="00D5421D" w:rsidP="00EE2230">
      <w:pPr>
        <w:spacing w:after="120" w:line="240" w:lineRule="auto"/>
        <w:ind w:firstLine="448"/>
        <w:jc w:val="both"/>
        <w:rPr>
          <w:rFonts w:ascii="Times New Roman" w:hAnsi="Times New Roman"/>
          <w:color w:val="000000"/>
          <w:sz w:val="24"/>
          <w:szCs w:val="24"/>
        </w:rPr>
      </w:pPr>
      <w:r w:rsidRPr="005B7761">
        <w:rPr>
          <w:rFonts w:ascii="Times New Roman" w:hAnsi="Times New Roman"/>
          <w:color w:val="000000"/>
          <w:sz w:val="24"/>
          <w:szCs w:val="24"/>
        </w:rPr>
        <w:t>6) спеціальні загальноосвітні навчальні заклади для дітей, які потребують корекції фізичного та/або розумового розвитку, навчально-реабілітаційні центри.</w:t>
      </w:r>
    </w:p>
    <w:p w:rsidR="00D5421D" w:rsidRPr="005B7761" w:rsidRDefault="00D5421D" w:rsidP="00EE2230">
      <w:pPr>
        <w:pStyle w:val="rvps21"/>
        <w:spacing w:after="120"/>
        <w:ind w:firstLine="448"/>
        <w:rPr>
          <w:color w:val="000000"/>
        </w:rPr>
      </w:pPr>
      <w:bookmarkStart w:id="4" w:name="n2655"/>
      <w:bookmarkEnd w:id="4"/>
      <w:r w:rsidRPr="005B7761">
        <w:rPr>
          <w:color w:val="000000"/>
        </w:rPr>
        <w:t xml:space="preserve">Крім того встановлено, що освітня субвенція може використовуватися на капітальні видатки, за умови забезпечення у повному обсязі потреби у поточних видатках на бюджетний період і відсутності простроченої бюджетної заборгованості за захищеними видатками наведених навчальних закладів, а також </w:t>
      </w:r>
      <w:bookmarkStart w:id="5" w:name="n2654"/>
      <w:bookmarkStart w:id="6" w:name="n2439"/>
      <w:bookmarkEnd w:id="5"/>
      <w:bookmarkEnd w:id="6"/>
      <w:r w:rsidRPr="005B7761">
        <w:rPr>
          <w:color w:val="000000"/>
        </w:rPr>
        <w:t>на реалізацію заходів із оптимізації їх мережі.</w:t>
      </w:r>
    </w:p>
    <w:p w:rsidR="00D5421D" w:rsidRPr="005B7761" w:rsidRDefault="00D5421D" w:rsidP="00EE2230">
      <w:pPr>
        <w:spacing w:after="120" w:line="240" w:lineRule="auto"/>
        <w:ind w:firstLine="708"/>
        <w:jc w:val="both"/>
        <w:rPr>
          <w:rFonts w:ascii="Times New Roman" w:hAnsi="Times New Roman"/>
          <w:sz w:val="24"/>
          <w:szCs w:val="24"/>
        </w:rPr>
      </w:pPr>
      <w:r w:rsidRPr="005B7761">
        <w:rPr>
          <w:rFonts w:ascii="Times New Roman" w:hAnsi="Times New Roman"/>
          <w:sz w:val="24"/>
          <w:szCs w:val="24"/>
        </w:rPr>
        <w:t xml:space="preserve">Обсяги освітньої субвенції затверджуються у законі про Державний бюджет України окремо для Автономної Республіки Крим, обласних, районних бюджетів і бюджетів міст обласного значення та </w:t>
      </w:r>
      <w:r w:rsidRPr="005B7761">
        <w:rPr>
          <w:rFonts w:ascii="Times New Roman" w:hAnsi="Times New Roman"/>
          <w:b/>
          <w:sz w:val="24"/>
          <w:szCs w:val="24"/>
        </w:rPr>
        <w:t>бюджетів об’єднаних територіальних громад</w:t>
      </w:r>
      <w:r w:rsidRPr="005B7761">
        <w:rPr>
          <w:rFonts w:ascii="Times New Roman" w:hAnsi="Times New Roman"/>
          <w:sz w:val="24"/>
          <w:szCs w:val="24"/>
        </w:rPr>
        <w:t xml:space="preserve">, що створюються згідно із законом та перспективним планом формування територій громад [ 5 ]. </w:t>
      </w:r>
    </w:p>
    <w:p w:rsidR="00D5421D" w:rsidRPr="005B7761" w:rsidRDefault="00D5421D" w:rsidP="00EE2230">
      <w:pPr>
        <w:pStyle w:val="rvps21"/>
        <w:spacing w:after="120"/>
        <w:ind w:firstLine="448"/>
        <w:rPr>
          <w:color w:val="000000"/>
        </w:rPr>
      </w:pPr>
      <w:r w:rsidRPr="005B7761">
        <w:rPr>
          <w:color w:val="000000"/>
        </w:rPr>
        <w:t>Освітня субвенція розподіляється між відповідними бюджетами на основі формули, що затверджується Кабінетом Міністрів України і враховує такі основні параметри:</w:t>
      </w:r>
    </w:p>
    <w:p w:rsidR="00D5421D" w:rsidRPr="005B7761" w:rsidRDefault="00D5421D" w:rsidP="00EE2230">
      <w:pPr>
        <w:pStyle w:val="rvps21"/>
        <w:spacing w:after="120"/>
        <w:ind w:firstLine="448"/>
        <w:rPr>
          <w:color w:val="000000"/>
        </w:rPr>
      </w:pPr>
      <w:r w:rsidRPr="005B7761">
        <w:rPr>
          <w:color w:val="000000"/>
        </w:rPr>
        <w:t>- фінансовий норматив бюджетної забезпеченості одного учня;</w:t>
      </w:r>
    </w:p>
    <w:p w:rsidR="00D5421D" w:rsidRPr="005B7761" w:rsidRDefault="00D5421D" w:rsidP="00EE2230">
      <w:pPr>
        <w:pStyle w:val="rvps21"/>
        <w:spacing w:after="120"/>
        <w:ind w:firstLine="448"/>
        <w:rPr>
          <w:color w:val="000000"/>
        </w:rPr>
      </w:pPr>
      <w:r w:rsidRPr="005B7761">
        <w:rPr>
          <w:color w:val="000000"/>
        </w:rPr>
        <w:t>- кількість учнів різних типів загальноосвітніх навчальних закладів у міській та сільській місцевості, гірських населених пунктах;</w:t>
      </w:r>
    </w:p>
    <w:p w:rsidR="00D5421D" w:rsidRPr="005B7761" w:rsidRDefault="00D5421D" w:rsidP="00EE2230">
      <w:pPr>
        <w:pStyle w:val="rvps21"/>
        <w:spacing w:after="120"/>
        <w:ind w:firstLine="448"/>
        <w:rPr>
          <w:color w:val="000000"/>
        </w:rPr>
      </w:pPr>
      <w:r w:rsidRPr="005B7761">
        <w:rPr>
          <w:color w:val="000000"/>
        </w:rPr>
        <w:t>- наповнюваність класів;</w:t>
      </w:r>
    </w:p>
    <w:p w:rsidR="00D5421D" w:rsidRPr="005B7761" w:rsidRDefault="00D5421D" w:rsidP="00EE2230">
      <w:pPr>
        <w:pStyle w:val="rvps21"/>
        <w:spacing w:after="120"/>
        <w:ind w:firstLine="448"/>
        <w:rPr>
          <w:color w:val="000000"/>
        </w:rPr>
      </w:pPr>
      <w:r w:rsidRPr="005B7761">
        <w:rPr>
          <w:color w:val="000000"/>
        </w:rPr>
        <w:t>- коригуючі коефіцієнти приведення, що застосовуються до кількості учнів різних типів загальноосвітніх навчальних закладів та залежно від місцевості, в якій розташований заклад.</w:t>
      </w:r>
    </w:p>
    <w:p w:rsidR="00D5421D" w:rsidRPr="005B7761" w:rsidRDefault="00D5421D" w:rsidP="00EE2230">
      <w:pPr>
        <w:spacing w:after="120" w:line="240" w:lineRule="auto"/>
        <w:ind w:firstLine="708"/>
        <w:jc w:val="both"/>
        <w:rPr>
          <w:rFonts w:ascii="Times New Roman" w:hAnsi="Times New Roman"/>
          <w:sz w:val="24"/>
          <w:szCs w:val="24"/>
        </w:rPr>
      </w:pPr>
      <w:r w:rsidRPr="005B7761">
        <w:rPr>
          <w:rFonts w:ascii="Times New Roman" w:hAnsi="Times New Roman"/>
          <w:sz w:val="24"/>
          <w:szCs w:val="24"/>
        </w:rPr>
        <w:t xml:space="preserve">На тепер чинна формула розподілу обсягу освітньої субвенції між місцевими бюджетами, затверджена постановою кабінету Міністрів України від 26 червня 2015 року № 435 (зі змінами і доповненнями).  Відповідно до пункту 2  передбачено формулу визначення показника освітньої субвенції для зведеного бюджету міста обласного значення, району та </w:t>
      </w:r>
      <w:r w:rsidRPr="005B7761">
        <w:rPr>
          <w:rFonts w:ascii="Times New Roman" w:hAnsi="Times New Roman"/>
          <w:b/>
          <w:sz w:val="24"/>
          <w:szCs w:val="24"/>
        </w:rPr>
        <w:t>об’єднаної територіальної громади</w:t>
      </w:r>
      <w:r w:rsidRPr="005B7761">
        <w:rPr>
          <w:rFonts w:ascii="Times New Roman" w:hAnsi="Times New Roman"/>
          <w:sz w:val="24"/>
          <w:szCs w:val="24"/>
        </w:rPr>
        <w:t xml:space="preserve">, утвореної згідно з законом перспективним планом формування територій громад. Варто зазначити, що при розрахунку обсягу освітньої субвенції на 2016 рік для об’єднаної територіальної громади, утвореної згідно з законом і перспективним планом формування територій громад, застосовано фінансовий норматив бюджетної забезпеченості на одного учня з відповідними коригуючими коефіцієнтами, що враховують статус місцевості та наповнюваність класів у середньому за адміністративно-територіальною одиницею, на території якої утворено громаду (окремо для  міської та сільської місцевості) [ 6 ].  </w:t>
      </w:r>
    </w:p>
    <w:p w:rsidR="00D5421D" w:rsidRPr="005B7761" w:rsidRDefault="00D5421D" w:rsidP="00EE2230">
      <w:pPr>
        <w:pStyle w:val="rvps21"/>
        <w:spacing w:after="120"/>
        <w:ind w:firstLine="448"/>
      </w:pPr>
      <w:r w:rsidRPr="005B7761">
        <w:t xml:space="preserve">   </w:t>
      </w:r>
      <w:bookmarkStart w:id="7" w:name="n2440"/>
      <w:bookmarkStart w:id="8" w:name="n2441"/>
      <w:bookmarkEnd w:id="7"/>
      <w:bookmarkEnd w:id="8"/>
      <w:r w:rsidRPr="005B7761">
        <w:t xml:space="preserve">Згідно з затвердженим Урядом порядком та умовами надання освітньої субвенції з державного бюджету місцевим бюджетам, зокрема передбачено, що головним розпорядником субвенції є Міністерство освіти і науки, а розпорядниками субвенції за місцевими бюджетами є структурні підрозділи з питань освіти і науки, які визначаються рішенням відповідної місцевої ради про такий бюджет, згідно із законодавством [ 7 ]. </w:t>
      </w:r>
    </w:p>
    <w:p w:rsidR="00D5421D" w:rsidRPr="005B7761" w:rsidRDefault="00D5421D" w:rsidP="00EE2230">
      <w:pPr>
        <w:pStyle w:val="rvps21"/>
        <w:spacing w:after="120"/>
        <w:ind w:firstLine="448"/>
      </w:pPr>
      <w:r w:rsidRPr="005B7761">
        <w:t>Також визначено, що субвенція спрямовується на оплату поточних видатків наведених вище навчальних закладів. Водночас, у разі задоволення у повному обсязі потреби у поточних видатках на бюджетний період та за умови відсутності простроченої бюджетної заборгованості за захищеними видатками цих навчальних закладів субвенція може спрямовуватися на такі капітальні видатки:</w:t>
      </w:r>
    </w:p>
    <w:p w:rsidR="00D5421D" w:rsidRPr="005B7761" w:rsidRDefault="00D5421D" w:rsidP="00EE2230">
      <w:pPr>
        <w:pStyle w:val="rvps21"/>
        <w:spacing w:after="120"/>
        <w:ind w:firstLine="448"/>
      </w:pPr>
      <w:r w:rsidRPr="005B7761">
        <w:t>- придбання шкільних автобусів для перевезення дітей із загальноосвітніх навчальних закладів, які будуть оптимізовані/об’єднані/реорганізовані;</w:t>
      </w:r>
    </w:p>
    <w:p w:rsidR="00D5421D" w:rsidRPr="005B7761" w:rsidRDefault="00D5421D" w:rsidP="00EE2230">
      <w:pPr>
        <w:pStyle w:val="rvps21"/>
        <w:spacing w:after="120"/>
        <w:ind w:firstLine="448"/>
      </w:pPr>
      <w:r w:rsidRPr="005B7761">
        <w:t>- оновлення навчальної та матеріально-технічної бази загальноосвітніх навчальних закладів, які оптимізовані/об’єднані/реорганізовані або  які повністю укомплектовані та до яких будуть довозитися учні загальносвітніх навчальних закладів;</w:t>
      </w:r>
    </w:p>
    <w:p w:rsidR="00D5421D" w:rsidRPr="005B7761" w:rsidRDefault="00D5421D" w:rsidP="00EE2230">
      <w:pPr>
        <w:pStyle w:val="rvps21"/>
        <w:spacing w:after="120"/>
        <w:ind w:firstLine="448"/>
      </w:pPr>
      <w:r w:rsidRPr="005B7761">
        <w:t>- придбання підручників і посібників загальноосвітніх навчальних закладів;</w:t>
      </w:r>
    </w:p>
    <w:p w:rsidR="00D5421D" w:rsidRPr="005B7761" w:rsidRDefault="00D5421D" w:rsidP="00EE2230">
      <w:pPr>
        <w:pStyle w:val="rvps21"/>
        <w:spacing w:after="120"/>
        <w:ind w:firstLine="448"/>
      </w:pPr>
      <w:r w:rsidRPr="005B7761">
        <w:t>- оснащення загальноосвітніх навчальних закладів засобами навчання з фізики, хімії, біології, математики, навчальними комп’ютерними комплексами з мультимедійними засобами навчання;</w:t>
      </w:r>
    </w:p>
    <w:p w:rsidR="00D5421D" w:rsidRPr="005B7761" w:rsidRDefault="00D5421D" w:rsidP="00EE2230">
      <w:pPr>
        <w:pStyle w:val="rvps21"/>
        <w:spacing w:after="120"/>
        <w:ind w:firstLine="448"/>
      </w:pPr>
      <w:r w:rsidRPr="005B7761">
        <w:t>- підключення загальноосвітніх навчальних закладів до Інтернету, насамперед у сільській місцевості;</w:t>
      </w:r>
    </w:p>
    <w:p w:rsidR="00D5421D" w:rsidRPr="005B7761" w:rsidRDefault="00D5421D" w:rsidP="00EE2230">
      <w:pPr>
        <w:pStyle w:val="rvps21"/>
        <w:spacing w:after="120"/>
        <w:ind w:firstLine="448"/>
      </w:pPr>
      <w:r w:rsidRPr="005B7761">
        <w:t>- здійснення заходів у сфері енергоефективності та енергозбереження.</w:t>
      </w:r>
    </w:p>
    <w:p w:rsidR="00D5421D" w:rsidRPr="005B7761" w:rsidRDefault="00D5421D" w:rsidP="00EE2230">
      <w:pPr>
        <w:pStyle w:val="rvps21"/>
        <w:spacing w:after="120"/>
        <w:ind w:firstLine="448"/>
      </w:pPr>
      <w:r w:rsidRPr="005B7761">
        <w:t>Важливо наголосити, що у разі наявної заборгованості із заробітної плати, строк виплати якої пройшов, у навчальних закладах адміністративно-територіальної одиниці субвенція спрямовується першочергово на обов’язкові виплати із заробітної плати працівникам. Видатки, пов’язані із стимулюванням працівників кожної бюджетної установи (закладів освіти) такої адміністративно-територіальної одиниці, а також незахищені видатки здійснюються виключно після ліквідації заборгованості із заробітної плати.</w:t>
      </w:r>
    </w:p>
    <w:p w:rsidR="00D5421D" w:rsidRPr="005B7761" w:rsidRDefault="00D5421D" w:rsidP="00EE2230">
      <w:pPr>
        <w:pStyle w:val="rvps21"/>
        <w:spacing w:after="120"/>
        <w:ind w:firstLine="448"/>
        <w:rPr>
          <w:i/>
        </w:rPr>
      </w:pPr>
      <w:r w:rsidRPr="005B7761">
        <w:rPr>
          <w:i/>
        </w:rPr>
        <w:t xml:space="preserve">Водночас звертаємо увагу, що відповідно до чинного законодавства Порядок надання освітньої субвенції з державного бюджету місцевим бюджетам доповнено наступним положенням: за рахунок освітньої субвенції </w:t>
      </w:r>
      <w:r w:rsidRPr="005B7761">
        <w:rPr>
          <w:b/>
          <w:i/>
        </w:rPr>
        <w:t>не здійснюються</w:t>
      </w:r>
      <w:r w:rsidRPr="005B7761">
        <w:rPr>
          <w:i/>
        </w:rPr>
        <w:t xml:space="preserve"> з 1 вересня 2016</w:t>
      </w:r>
      <w:r>
        <w:rPr>
          <w:i/>
          <w:lang w:val="en-US"/>
        </w:rPr>
        <w:t xml:space="preserve"> </w:t>
      </w:r>
      <w:r w:rsidRPr="005B7761">
        <w:rPr>
          <w:i/>
        </w:rPr>
        <w:t>р. фінансування загальноосвітніх навчальних закладів (крім закладів початкової школи), кількість учнів у яких становить менше 25 осіб  [ 8].</w:t>
      </w:r>
    </w:p>
    <w:p w:rsidR="00D5421D" w:rsidRPr="005B7761" w:rsidRDefault="00D5421D" w:rsidP="00EE2230">
      <w:pPr>
        <w:pStyle w:val="rvps21"/>
        <w:spacing w:after="120"/>
        <w:ind w:firstLine="448"/>
      </w:pPr>
      <w:r w:rsidRPr="005B7761">
        <w:t xml:space="preserve">Разом із тим, відповідні місцеві ради мають право додатково понад обсяг освітньої субвенції планувати та здійснювати з місцевих бюджетів оплату поточних і капітальних видатків навчальних закладів, визначених у статті </w:t>
      </w:r>
      <w:r w:rsidRPr="005B7761">
        <w:rPr>
          <w:rStyle w:val="rvts9"/>
          <w:b w:val="0"/>
        </w:rPr>
        <w:t>103</w:t>
      </w:r>
      <w:r w:rsidRPr="005B7761">
        <w:rPr>
          <w:rStyle w:val="rvts37"/>
          <w:b w:val="0"/>
          <w:sz w:val="24"/>
          <w:szCs w:val="24"/>
        </w:rPr>
        <w:t>-2</w:t>
      </w:r>
      <w:r w:rsidRPr="005B7761">
        <w:rPr>
          <w:rStyle w:val="rvts37"/>
          <w:sz w:val="24"/>
          <w:szCs w:val="24"/>
        </w:rPr>
        <w:t xml:space="preserve">  </w:t>
      </w:r>
      <w:r w:rsidRPr="005B7761">
        <w:t xml:space="preserve">Бюджетного кодексу України. </w:t>
      </w:r>
    </w:p>
    <w:p w:rsidR="00D5421D" w:rsidRPr="005B7761" w:rsidRDefault="00D5421D" w:rsidP="00EE2230">
      <w:pPr>
        <w:pStyle w:val="rvps21"/>
        <w:spacing w:after="120"/>
        <w:ind w:firstLine="448"/>
      </w:pPr>
      <w:r w:rsidRPr="005B7761">
        <w:t xml:space="preserve">Фінансове забезпечення усіх інших комунальних закладів освіти згідно із статтею 89 Бюджетного кодексу України (дошкільні, позашкільні тощо), на які освітня субвенція не передбачена, здійснюється за рахунок інших надходжень до відповідних місцевих бюджетів, передбачених чинним законодавством України.   </w:t>
      </w:r>
    </w:p>
    <w:p w:rsidR="00D5421D" w:rsidRPr="005B7761" w:rsidRDefault="00D5421D" w:rsidP="00EE2230">
      <w:pPr>
        <w:pStyle w:val="rvps21"/>
        <w:spacing w:after="120"/>
        <w:ind w:firstLine="448"/>
        <w:jc w:val="center"/>
        <w:rPr>
          <w:b/>
        </w:rPr>
      </w:pPr>
    </w:p>
    <w:p w:rsidR="00D5421D" w:rsidRPr="005B7761" w:rsidRDefault="00D5421D" w:rsidP="00EE2230">
      <w:pPr>
        <w:pStyle w:val="rvps21"/>
        <w:spacing w:after="120"/>
        <w:ind w:firstLine="448"/>
        <w:jc w:val="center"/>
        <w:rPr>
          <w:b/>
        </w:rPr>
      </w:pPr>
      <w:r w:rsidRPr="005B7761">
        <w:rPr>
          <w:b/>
        </w:rPr>
        <w:t>Використані джерела</w:t>
      </w:r>
    </w:p>
    <w:p w:rsidR="00D5421D" w:rsidRPr="005B7761" w:rsidRDefault="00D5421D" w:rsidP="00EE2230">
      <w:pPr>
        <w:pStyle w:val="ListParagraph"/>
        <w:numPr>
          <w:ilvl w:val="0"/>
          <w:numId w:val="2"/>
        </w:numPr>
        <w:spacing w:after="120" w:line="240" w:lineRule="auto"/>
        <w:jc w:val="both"/>
        <w:rPr>
          <w:rFonts w:ascii="Times New Roman" w:hAnsi="Times New Roman"/>
          <w:sz w:val="24"/>
          <w:szCs w:val="24"/>
        </w:rPr>
      </w:pPr>
      <w:r w:rsidRPr="005B7761">
        <w:rPr>
          <w:rFonts w:ascii="Times New Roman" w:hAnsi="Times New Roman"/>
          <w:sz w:val="24"/>
          <w:szCs w:val="24"/>
        </w:rPr>
        <w:t>Конституції України від 28 черв. 1996р. № 254к/96-ВР: Відомості Верховної Ради України, 1996, №30</w:t>
      </w:r>
    </w:p>
    <w:p w:rsidR="00D5421D" w:rsidRPr="005B7761" w:rsidRDefault="00D5421D" w:rsidP="00EE2230">
      <w:pPr>
        <w:pStyle w:val="ListParagraph"/>
        <w:numPr>
          <w:ilvl w:val="0"/>
          <w:numId w:val="2"/>
        </w:numPr>
        <w:spacing w:after="120" w:line="240" w:lineRule="auto"/>
        <w:jc w:val="both"/>
        <w:rPr>
          <w:rFonts w:ascii="Times New Roman" w:hAnsi="Times New Roman"/>
          <w:sz w:val="24"/>
          <w:szCs w:val="24"/>
        </w:rPr>
      </w:pPr>
      <w:r w:rsidRPr="005B7761">
        <w:rPr>
          <w:rFonts w:ascii="Times New Roman" w:hAnsi="Times New Roman"/>
          <w:sz w:val="24"/>
          <w:szCs w:val="24"/>
        </w:rPr>
        <w:t xml:space="preserve">Про освіту: Закон України від 23 травн.1991 № 1060-ХІІ (зі змінами і доповненнями) – Режим доступу : </w:t>
      </w:r>
      <w:hyperlink r:id="rId5" w:history="1">
        <w:r w:rsidRPr="005B7761">
          <w:rPr>
            <w:rStyle w:val="Hyperlink"/>
            <w:rFonts w:ascii="Times New Roman" w:hAnsi="Times New Roman"/>
            <w:sz w:val="24"/>
            <w:szCs w:val="24"/>
          </w:rPr>
          <w:t>http://zakon1.rada.gov.ua/laws/show/1060–12</w:t>
        </w:r>
      </w:hyperlink>
    </w:p>
    <w:p w:rsidR="00D5421D" w:rsidRPr="005B7761" w:rsidRDefault="00D5421D" w:rsidP="00EE2230">
      <w:pPr>
        <w:pStyle w:val="ListParagraph"/>
        <w:numPr>
          <w:ilvl w:val="0"/>
          <w:numId w:val="2"/>
        </w:numPr>
        <w:spacing w:after="120" w:line="240" w:lineRule="auto"/>
        <w:jc w:val="both"/>
        <w:rPr>
          <w:rFonts w:ascii="Times New Roman" w:hAnsi="Times New Roman"/>
          <w:sz w:val="24"/>
          <w:szCs w:val="24"/>
        </w:rPr>
      </w:pPr>
      <w:r w:rsidRPr="005B7761">
        <w:rPr>
          <w:rFonts w:ascii="Times New Roman" w:hAnsi="Times New Roman"/>
          <w:sz w:val="24"/>
          <w:szCs w:val="24"/>
        </w:rPr>
        <w:t xml:space="preserve">Бюджетний кодекс України : Закон, Кодекс від 8 липн. 2010 р. № 2456- VI. – Режим доступу:  </w:t>
      </w:r>
      <w:hyperlink r:id="rId6" w:history="1">
        <w:r w:rsidRPr="005B7761">
          <w:rPr>
            <w:rStyle w:val="Hyperlink"/>
            <w:rFonts w:ascii="Times New Roman" w:hAnsi="Times New Roman"/>
            <w:sz w:val="24"/>
            <w:szCs w:val="24"/>
          </w:rPr>
          <w:t>http://zakon0.rada.gov.ua/laws/show/2456-17</w:t>
        </w:r>
      </w:hyperlink>
    </w:p>
    <w:p w:rsidR="00D5421D" w:rsidRPr="005B7761" w:rsidRDefault="00D5421D" w:rsidP="00EE2230">
      <w:pPr>
        <w:pStyle w:val="ListParagraph"/>
        <w:numPr>
          <w:ilvl w:val="0"/>
          <w:numId w:val="2"/>
        </w:numPr>
        <w:spacing w:after="120" w:line="240" w:lineRule="auto"/>
        <w:jc w:val="both"/>
        <w:rPr>
          <w:rFonts w:ascii="Times New Roman" w:hAnsi="Times New Roman"/>
          <w:sz w:val="24"/>
          <w:szCs w:val="24"/>
        </w:rPr>
      </w:pPr>
      <w:r w:rsidRPr="005B7761">
        <w:rPr>
          <w:rFonts w:ascii="Times New Roman" w:hAnsi="Times New Roman"/>
          <w:sz w:val="24"/>
          <w:szCs w:val="24"/>
        </w:rPr>
        <w:t>Науково-практичний коментар до Бюджетного кодексу України / кол. авторів [ заг. редакція, передмова Ф. О. Ярошенка ]. – К.: Зовнішня торгівля ; УДУФМТ, 2010. – 592 с.</w:t>
      </w:r>
    </w:p>
    <w:p w:rsidR="00D5421D" w:rsidRPr="005B7761" w:rsidRDefault="00D5421D" w:rsidP="00EE2230">
      <w:pPr>
        <w:spacing w:after="120" w:line="240" w:lineRule="auto"/>
        <w:ind w:firstLine="360"/>
        <w:jc w:val="both"/>
        <w:rPr>
          <w:rFonts w:ascii="Times New Roman" w:hAnsi="Times New Roman"/>
          <w:sz w:val="24"/>
          <w:szCs w:val="24"/>
        </w:rPr>
      </w:pPr>
      <w:r w:rsidRPr="005B7761">
        <w:rPr>
          <w:rFonts w:ascii="Times New Roman" w:hAnsi="Times New Roman"/>
          <w:sz w:val="24"/>
          <w:szCs w:val="24"/>
        </w:rPr>
        <w:t xml:space="preserve">5.  Про Державний бюджет України на 2016 рік: Закон України від 25 груд. 2015 р. № 928- VIІ. - Режим доступу: </w:t>
      </w:r>
      <w:hyperlink r:id="rId7" w:history="1">
        <w:r w:rsidRPr="005B7761">
          <w:rPr>
            <w:rStyle w:val="Hyperlink"/>
            <w:rFonts w:ascii="Times New Roman" w:hAnsi="Times New Roman"/>
            <w:sz w:val="24"/>
            <w:szCs w:val="24"/>
          </w:rPr>
          <w:t>http://zakon2.rada.gov.ua/laws/show/928-19</w:t>
        </w:r>
      </w:hyperlink>
      <w:r w:rsidRPr="005B7761">
        <w:rPr>
          <w:rFonts w:ascii="Times New Roman" w:hAnsi="Times New Roman"/>
          <w:sz w:val="24"/>
          <w:szCs w:val="24"/>
        </w:rPr>
        <w:t xml:space="preserve"> </w:t>
      </w:r>
    </w:p>
    <w:p w:rsidR="00D5421D" w:rsidRPr="005B7761" w:rsidRDefault="00D5421D" w:rsidP="00EE2230">
      <w:pPr>
        <w:spacing w:after="120" w:line="240" w:lineRule="auto"/>
        <w:ind w:firstLine="708"/>
        <w:jc w:val="both"/>
        <w:rPr>
          <w:rFonts w:ascii="Times New Roman" w:hAnsi="Times New Roman"/>
          <w:sz w:val="24"/>
          <w:szCs w:val="24"/>
        </w:rPr>
      </w:pPr>
      <w:r w:rsidRPr="005B7761">
        <w:rPr>
          <w:rFonts w:ascii="Times New Roman" w:hAnsi="Times New Roman"/>
          <w:sz w:val="24"/>
          <w:szCs w:val="24"/>
        </w:rPr>
        <w:t xml:space="preserve">6. Про затвердження формули розподілу освітньої субвенції між місцевими бюджетами: Постанова Кабінету Міністрів України від 26 червня 2015 року № 435 (зі змінами і доповненнями).  </w:t>
      </w:r>
    </w:p>
    <w:p w:rsidR="00D5421D" w:rsidRPr="005B7761" w:rsidRDefault="00D5421D" w:rsidP="00EE2230">
      <w:pPr>
        <w:spacing w:after="120" w:line="240" w:lineRule="auto"/>
        <w:ind w:firstLine="708"/>
        <w:jc w:val="both"/>
        <w:rPr>
          <w:rFonts w:ascii="Times New Roman" w:hAnsi="Times New Roman"/>
          <w:sz w:val="24"/>
          <w:szCs w:val="24"/>
        </w:rPr>
      </w:pPr>
      <w:r w:rsidRPr="005B7761">
        <w:rPr>
          <w:rFonts w:ascii="Times New Roman" w:hAnsi="Times New Roman"/>
          <w:sz w:val="24"/>
          <w:szCs w:val="24"/>
        </w:rPr>
        <w:t xml:space="preserve">7. Деякі питання надання освітньої субвенції з державного бюджету місцевим бюджетам: Постанова Кабінету Міністрів України від 14 січня 2015 р. №6 (зі змінами і доповненнями). </w:t>
      </w:r>
    </w:p>
    <w:p w:rsidR="00D5421D" w:rsidRPr="005B7761" w:rsidRDefault="00D5421D" w:rsidP="00EE2230">
      <w:pPr>
        <w:spacing w:after="120" w:line="240" w:lineRule="auto"/>
        <w:ind w:firstLine="360"/>
        <w:jc w:val="both"/>
        <w:rPr>
          <w:rFonts w:ascii="Times New Roman" w:hAnsi="Times New Roman"/>
          <w:sz w:val="24"/>
          <w:szCs w:val="24"/>
        </w:rPr>
      </w:pPr>
      <w:r w:rsidRPr="005B7761">
        <w:rPr>
          <w:rFonts w:ascii="Times New Roman" w:hAnsi="Times New Roman"/>
          <w:sz w:val="24"/>
          <w:szCs w:val="24"/>
        </w:rPr>
        <w:t xml:space="preserve">8. Про внесення змін до деяких законодавчих актів України:  Закон України від 24 груд. 2015 р. № 911- VIІІ. - Режим доступу: </w:t>
      </w:r>
      <w:hyperlink r:id="rId8" w:history="1">
        <w:r w:rsidRPr="005B7761">
          <w:rPr>
            <w:rStyle w:val="Hyperlink"/>
            <w:rFonts w:ascii="Times New Roman" w:hAnsi="Times New Roman"/>
            <w:sz w:val="24"/>
            <w:szCs w:val="24"/>
          </w:rPr>
          <w:t>http://zakon2.rada.gov.ua/laws/show/911-19</w:t>
        </w:r>
      </w:hyperlink>
      <w:r w:rsidRPr="005B7761">
        <w:rPr>
          <w:rFonts w:ascii="Times New Roman" w:hAnsi="Times New Roman"/>
          <w:sz w:val="24"/>
          <w:szCs w:val="24"/>
        </w:rPr>
        <w:t xml:space="preserve"> </w:t>
      </w:r>
    </w:p>
    <w:p w:rsidR="00D5421D" w:rsidRPr="005B7761" w:rsidRDefault="00D5421D" w:rsidP="00EE2230">
      <w:pPr>
        <w:spacing w:after="120" w:line="240" w:lineRule="auto"/>
        <w:rPr>
          <w:sz w:val="24"/>
          <w:szCs w:val="24"/>
        </w:rPr>
      </w:pPr>
      <w:bookmarkStart w:id="9" w:name="n2446"/>
      <w:bookmarkStart w:id="10" w:name="n2476"/>
      <w:bookmarkStart w:id="11" w:name="n2447"/>
      <w:bookmarkEnd w:id="9"/>
      <w:bookmarkEnd w:id="10"/>
      <w:bookmarkEnd w:id="11"/>
    </w:p>
    <w:sectPr w:rsidR="00D5421D" w:rsidRPr="005B7761" w:rsidSect="00497C3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01E79"/>
    <w:multiLevelType w:val="hybridMultilevel"/>
    <w:tmpl w:val="6190342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6EA57DD3"/>
    <w:multiLevelType w:val="hybridMultilevel"/>
    <w:tmpl w:val="F6966E5A"/>
    <w:lvl w:ilvl="0" w:tplc="7E4CC764">
      <w:start w:val="1"/>
      <w:numFmt w:val="decimal"/>
      <w:lvlText w:val="%1."/>
      <w:lvlJc w:val="left"/>
      <w:pPr>
        <w:ind w:left="1684" w:hanging="975"/>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3303"/>
    <w:rsid w:val="00005682"/>
    <w:rsid w:val="00031B26"/>
    <w:rsid w:val="00052600"/>
    <w:rsid w:val="0006367E"/>
    <w:rsid w:val="00074E5F"/>
    <w:rsid w:val="000A5AEE"/>
    <w:rsid w:val="000B19A3"/>
    <w:rsid w:val="000D1619"/>
    <w:rsid w:val="000F11AB"/>
    <w:rsid w:val="000F6DC1"/>
    <w:rsid w:val="00106F7D"/>
    <w:rsid w:val="001E5102"/>
    <w:rsid w:val="00226190"/>
    <w:rsid w:val="00227645"/>
    <w:rsid w:val="0024647D"/>
    <w:rsid w:val="002951A9"/>
    <w:rsid w:val="002A4A81"/>
    <w:rsid w:val="002F1BA2"/>
    <w:rsid w:val="0034223B"/>
    <w:rsid w:val="00343303"/>
    <w:rsid w:val="00344561"/>
    <w:rsid w:val="00356CA3"/>
    <w:rsid w:val="003E668F"/>
    <w:rsid w:val="00410C9D"/>
    <w:rsid w:val="004152DA"/>
    <w:rsid w:val="00415AD4"/>
    <w:rsid w:val="00481D6F"/>
    <w:rsid w:val="004828E4"/>
    <w:rsid w:val="00497C3A"/>
    <w:rsid w:val="004B1F06"/>
    <w:rsid w:val="004C68D3"/>
    <w:rsid w:val="004E2482"/>
    <w:rsid w:val="004E2CC0"/>
    <w:rsid w:val="004F561F"/>
    <w:rsid w:val="005116DF"/>
    <w:rsid w:val="00543F49"/>
    <w:rsid w:val="0059063E"/>
    <w:rsid w:val="005A11A3"/>
    <w:rsid w:val="005A1254"/>
    <w:rsid w:val="005B7761"/>
    <w:rsid w:val="005B7C51"/>
    <w:rsid w:val="005D4717"/>
    <w:rsid w:val="0063401F"/>
    <w:rsid w:val="00660F7F"/>
    <w:rsid w:val="00673D4D"/>
    <w:rsid w:val="00676501"/>
    <w:rsid w:val="006C28C9"/>
    <w:rsid w:val="006E020A"/>
    <w:rsid w:val="006E3CDD"/>
    <w:rsid w:val="007C4B96"/>
    <w:rsid w:val="007E7096"/>
    <w:rsid w:val="0080366C"/>
    <w:rsid w:val="008049F1"/>
    <w:rsid w:val="008128B7"/>
    <w:rsid w:val="00823149"/>
    <w:rsid w:val="008F077E"/>
    <w:rsid w:val="008F1DDA"/>
    <w:rsid w:val="009102D5"/>
    <w:rsid w:val="009112CB"/>
    <w:rsid w:val="00943508"/>
    <w:rsid w:val="00976A6F"/>
    <w:rsid w:val="0098120C"/>
    <w:rsid w:val="00996410"/>
    <w:rsid w:val="00A15A61"/>
    <w:rsid w:val="00A33A23"/>
    <w:rsid w:val="00A341DD"/>
    <w:rsid w:val="00A34941"/>
    <w:rsid w:val="00A93B7F"/>
    <w:rsid w:val="00AA68E1"/>
    <w:rsid w:val="00AE1A70"/>
    <w:rsid w:val="00AE4548"/>
    <w:rsid w:val="00AE5DF5"/>
    <w:rsid w:val="00B11AD6"/>
    <w:rsid w:val="00B323C8"/>
    <w:rsid w:val="00B66093"/>
    <w:rsid w:val="00B736E4"/>
    <w:rsid w:val="00B869AF"/>
    <w:rsid w:val="00BA0CAA"/>
    <w:rsid w:val="00BA4AB6"/>
    <w:rsid w:val="00BB3C82"/>
    <w:rsid w:val="00BC51E3"/>
    <w:rsid w:val="00BF3E38"/>
    <w:rsid w:val="00C164B5"/>
    <w:rsid w:val="00C43270"/>
    <w:rsid w:val="00CA1DAC"/>
    <w:rsid w:val="00CE3B00"/>
    <w:rsid w:val="00D172A0"/>
    <w:rsid w:val="00D5421D"/>
    <w:rsid w:val="00D735E1"/>
    <w:rsid w:val="00D901B4"/>
    <w:rsid w:val="00DA6524"/>
    <w:rsid w:val="00E054F5"/>
    <w:rsid w:val="00E42965"/>
    <w:rsid w:val="00E52130"/>
    <w:rsid w:val="00E6490C"/>
    <w:rsid w:val="00EE2230"/>
    <w:rsid w:val="00F16CBE"/>
    <w:rsid w:val="00F24ACA"/>
    <w:rsid w:val="00F57B5D"/>
    <w:rsid w:val="00F75027"/>
    <w:rsid w:val="00F972AB"/>
    <w:rsid w:val="00FD1E03"/>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30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vts9">
    <w:name w:val="rvts9"/>
    <w:basedOn w:val="DefaultParagraphFont"/>
    <w:uiPriority w:val="99"/>
    <w:rsid w:val="00343303"/>
    <w:rPr>
      <w:rFonts w:ascii="Times New Roman" w:hAnsi="Times New Roman" w:cs="Times New Roman"/>
      <w:b/>
      <w:bCs/>
      <w:color w:val="000000"/>
      <w:sz w:val="24"/>
      <w:szCs w:val="24"/>
      <w:u w:val="none"/>
      <w:effect w:val="none"/>
    </w:rPr>
  </w:style>
  <w:style w:type="character" w:customStyle="1" w:styleId="rvts37">
    <w:name w:val="rvts37"/>
    <w:basedOn w:val="DefaultParagraphFont"/>
    <w:uiPriority w:val="99"/>
    <w:rsid w:val="00343303"/>
    <w:rPr>
      <w:rFonts w:ascii="Times New Roman" w:hAnsi="Times New Roman" w:cs="Times New Roman"/>
      <w:b/>
      <w:bCs/>
      <w:color w:val="000000"/>
      <w:sz w:val="16"/>
      <w:szCs w:val="16"/>
      <w:u w:val="none"/>
      <w:effect w:val="none"/>
      <w:vertAlign w:val="superscript"/>
    </w:rPr>
  </w:style>
  <w:style w:type="paragraph" w:customStyle="1" w:styleId="rvps21">
    <w:name w:val="rvps21"/>
    <w:basedOn w:val="Normal"/>
    <w:uiPriority w:val="99"/>
    <w:rsid w:val="00343303"/>
    <w:pPr>
      <w:spacing w:after="150" w:line="240" w:lineRule="auto"/>
      <w:ind w:firstLine="450"/>
      <w:jc w:val="both"/>
    </w:pPr>
    <w:rPr>
      <w:rFonts w:ascii="Times New Roman" w:eastAsia="Times New Roman" w:hAnsi="Times New Roman"/>
      <w:sz w:val="24"/>
      <w:szCs w:val="24"/>
      <w:lang w:eastAsia="uk-UA"/>
    </w:rPr>
  </w:style>
  <w:style w:type="character" w:styleId="Hyperlink">
    <w:name w:val="Hyperlink"/>
    <w:basedOn w:val="DefaultParagraphFont"/>
    <w:uiPriority w:val="99"/>
    <w:rsid w:val="004F561F"/>
    <w:rPr>
      <w:rFonts w:cs="Times New Roman"/>
      <w:color w:val="0000FF"/>
      <w:u w:val="single"/>
    </w:rPr>
  </w:style>
  <w:style w:type="paragraph" w:styleId="ListParagraph">
    <w:name w:val="List Paragraph"/>
    <w:basedOn w:val="Normal"/>
    <w:uiPriority w:val="99"/>
    <w:qFormat/>
    <w:rsid w:val="00FD1E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911-19" TargetMode="External"/><Relationship Id="rId3" Type="http://schemas.openxmlformats.org/officeDocument/2006/relationships/settings" Target="settings.xml"/><Relationship Id="rId7" Type="http://schemas.openxmlformats.org/officeDocument/2006/relationships/hyperlink" Target="http://zakon2.rada.gov.ua/laws/show/928-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0.rada.gov.ua/laws/show/2456-17" TargetMode="External"/><Relationship Id="rId5" Type="http://schemas.openxmlformats.org/officeDocument/2006/relationships/hyperlink" Target="http://zakon1.rada.gov.ua/laws/show/1060&#8211;1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7828</Words>
  <Characters>4462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ACER5235</dc:creator>
  <cp:keywords/>
  <dc:description/>
  <cp:lastModifiedBy>Oleh</cp:lastModifiedBy>
  <cp:revision>5</cp:revision>
  <dcterms:created xsi:type="dcterms:W3CDTF">2016-06-13T12:50:00Z</dcterms:created>
  <dcterms:modified xsi:type="dcterms:W3CDTF">2016-06-13T15:51:00Z</dcterms:modified>
</cp:coreProperties>
</file>